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w:t>
      </w:r>
    </w:p>
    <w:p>
      <w:r>
        <w:t>Bundesgericht (BGE), 2000-11-28, DE</w:t>
      </w:r>
    </w:p>
    <w:p>
      <w:r>
        <w:rPr>
          <w:b/>
        </w:rPr>
        <w:t xml:space="preserve">Quelle: </w:t>
      </w:r>
      <w:r>
        <w:t>https://mcp.opencaselaw.ch/entscheid/bge_127 IV 1</w:t>
      </w:r>
    </w:p>
    <w:p>
      <w:r>
        <w:t>FR: ATF 127 IV 1</w:t>
      </w:r>
    </w:p>
    <w:p>
      <w:r>
        <w:t>IT: DTF 127 IV 1</w:t>
      </w:r>
    </w:p>
    <w:p>
      <w:pPr>
        <w:pStyle w:val="Heading2"/>
      </w:pPr>
      <w:r>
        <w:t>Regeste</w:t>
      </w:r>
    </w:p>
    <w:p>
      <w:r>
        <w:t>Regeste Art. 43 Ziff. 1 Abs. 2 StGB; Verwahrung, Anlasstat, öffentliche Sicherheit. Ernst gemeinte Morddrohung - hier rund einen Monat nach Entlassung aus dem Strafvollzug auf Grund einer Verurteilung wegen Gefährdung des Lebens und Drohungen gleicher Art - kann Anlasstat für eine Verwahrung sein (E. 2c/cc). Der Täter gefährdet die öffentliche Sicherheit auch dann, wenn er eine Gefahr für einen begrenzten Personenkreis darstellt (E. 2c/ee).</w:t>
      </w:r>
    </w:p>
    <w:p>
      <w:pPr>
        <w:pStyle w:val="Heading2"/>
      </w:pPr>
      <w:r>
        <w:t>Erwägungen</w:t>
      </w:r>
    </w:p>
    <w:p>
      <w:r>
        <w:rPr>
          <w:b/>
        </w:rPr>
        <w:t>E. 2</w:t>
      </w:r>
    </w:p>
    <w:p>
      <w:r>
        <w:t>Der Beschwerdeführer macht geltend, die Voraussetzungen der Verwahrung seien nicht gegeben; das angefochtene Urteil verletze Art. 43 Ziff. 1 Abs. 2 StGB . a) 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Er kann ambulante Behandlung anordnen, sofern der Täter für Dritte nicht gefährlich ist ( Art. 43 Ziff. 1 Abs. 1 StGB ). Gefährdet der Täter infolge seines Geisteszustandes die öffentliche Sicherheit in schwer wiegender Weise, so wird vom Richter seine Verwahrung angeordnet, wenn diese Massnahme notwendig ist, um ihn vor weiterer Gefährdung anderer abzuhalten. Die Verwahrung wird in einer geeigneten Anstalt vollzogen ( Art. 43 Ziff. 1 Abs. 2 StGB ). Die Verwahrung nach Art. 43 Ziff. 1 Abs. 2 StGB erfasst zum einen hochgefährliche Täter, die keiner Behandlung zugänglich sind; zum andern Täter, die zwar behandlungsbedürftig und behandlungsfähig sind, von denen aber auch während einer Behandlung schwere Delikte zu befürchten wären, wenn sie im Sinne von Art. 43 Ziff. 1 Abs. 1 StGB ambulant oder in einer Heil- und Pflegeanstalt behandelt würden. Es handelt sich hier um Täter, bei denen trotz ärztlicher Behandlung oder Pflege ernstlich die Gefahr schwerer Straftaten und vor allem von Gewaltdelikten bleibt, sei es innerhalb oder ausserhalb der Anstalt. Die Heilchancen sind bei dieser Täterkategorie kurz- oder mittelfristig derart ungewiss, dass in diesem Zeitraum schwere Delikte zu befürchten wären. In der Verwahrung ist eine therapeutische und ärztliche Hilfe nach Möglichkeit zu leisten. Neben dem Sicherungs- ist dem Heilungsaspekt Rechnung zu tragen. Die Verwahrung ist angesichts der Schwere des Eingriffs in die persönliche Freiheit ultima ratio und darf nicht angeordnet BGE 127 IV 1 S. 5 werden, wenn die bestehende Gefährlichkeit auf andere Weise behoben werden kann. Die Verwahrung nach Art. 43 StGB muss nicht in einer ärztlich geleiteten Anstalt, sondern kann gegebenenfalls auch in einer Strafanstalt vollzogen werden ( BGE 125 IV 118 E. 5b/bb mit Hinweisen). Unter welchen Voraussetzungen eine Gefährdung der öffentlichen Sicherheit in schwer wiegender Weise im Sinne von Art. 43 Ziff. 1 Abs. 2 StGB anzunehmen ist, ist eine Rechtsfrage; ebenso, was unter der in dieser Bestimmung vorausgesetzten Notwendigkeit der Verwahrung zu verstehen ist. Die schwer wiegende Gefährdung bezieht sich nicht nur auf Nähe und Ausmass der Gefahr, sondern auch auf Art bzw. Bedeutung des gefährdeten Rechtsgutes. Bei der Gefährdung hochwertiger Rechtsgüter wie Leib und Leben sind an Nähe und Ausmass der Gefahr weniger hohe Anforderungen zu stellen als bei der Gefährdung weniger bedeutender Rechtsgüter wie Eigentum und Vermögen. Entsprechend kann die Verwahrung bei Gefährdung von Leib und Leben schon dann im Sinne von Art. 43 Ziff. 1 Abs. 2 StGB notwendig sein, wenn die Gefahr nicht besonders gross ist. Dabei ist auch zu berücksichtigen, dass Gefährlichkeitsprognosen naturgemäss unsicher und schwierig sind. Hält der Richter auf Grund der Ausführungen des psychiatrischen Gutachters ein Fortbestehen der Fremdgefährlichkeit trotz ärztlicher Behandlung in der Zukunft für möglich, darf er die Gefährlichkeit als Voraussetzung für die Anordnung einer bestimmten Massnahme bejahen. Der Grundsatz "in dubio pro reo" gilt bei der Prognoseentscheidung nicht ( BGE 118 IV 108 E. 2a mit Hinweisen). b) Die Vorinstanz legt dar, nach dem Gutachten von Dr. med. J. Sachs vom 14. Juli 1994 leide der Beschwerdeführer unter einer paranoiden Persönlichkeitsstörung. Im Zusatzgutachten vom 17. Februar 1997 führe Dr. Sachs aus, wenn man die Entwicklung seit der Erstbegutachtung betrachte, sei festzustellen, dass sich in den Gedanken und Gefühlen des Beschwerdeführers keine Veränderung eingestellt habe. Man müsse sogar von einer Verhärtung der Gefühle ungerechtfertigter Behandlung und Zurückweisung ausgehen. Die Diagnose einer paranoiden Persönlichkeitsstörung sei zu bestätigen. Es zeigten sich nach wie vor die dafür erforderlichen Kriterien wie übertriebene Empfindlichkeit bei Rückschlägen und Zurücksetzung; eine Neigung zu ständigem Groll; Misstrauen und einen starken Hang, Erlebtes zu verdrehen; streitsüchtiges und beharrliches, situationsunangemessenes Bestehen auf eigenen Rechten; die Tendenz zu stark überhöhtem Selbstwertgefühl sowie Inanspruchnahme BGE 127 IV 1 S. 6 durch unbegründete Gedanken an Verschwörungen als Erklärung für Ereignisse in der näheren Umgebung und in der Welt. Die Drohung gegen Y. am 22. Januar 1997 müsse im Zusammenhang mit der Persönlichkeitsstörung des Beschwerdeführers gesehen werden. Die Vorinstanz bemerkt weiter, nach dem Zusatzgutachten von Dr. med. M. Kiesewetter vom 21. Juli 1999 gebe es hinsichtlich der Berechtigung der Diagnose einer paranoiden Persönlichkeitsstörung überhaupt keine Zweifel. Dr. Kiesewetter lege dar, unmittelbar nachvollziehbar sei auch die im Gutachten vom 17. Februar 1997 vertretene Auffassung, dass die schwere Störung eher noch zugenommen habe. Erhebliche Zweifel bestünden jedoch daran, ob die 1994 und 1997 gestellte Diagnose heute noch ausreichend sei, die Erlebens-, Reaktions- und Verhaltensbereitschaften des Beschwerdeführers zu erfassen. Zu diskutieren sei, ob allein noch von einer paranoiden Persönlichkeitsstörung (und einer querulatorischen Entwicklung) zu sprechen sei, oder ob nicht bereits eine Wahnentwicklung im Sinne einer anderen anhaltenden Störung (ICD-10 F. 22.8) vorliege (dazugehöriger Begriff: Querulanzwahn). Ein Zusammenhang zwischen Tat und Persönlichkeitsstörung bzw. krankhafter querulatorischer Entwicklung sei eindeutig zu bejahen. Die Vorinstanz führt sodann aus, die gemäss beiden Gutachtern hohe Rückfallgefahr beziehe sich nicht nur auf Verhaltensweisen wie im vorliegenden Fall (Drohung), sondern auch auf solche wie am 22./23. Februar 1994 (Gefährdung des Lebens). Den Akten seien verschiedene Vorfälle zu entnehmen, bei denen der Beschwerdeführer Personen, die nicht zum Umfeld des ehemaligen Arbeitgebers gehörten, bedroht habe. So habe er bereits in der Rekrutenschule entlassen werden müssen, weil er einen Vorgesetzten bedroht habe; 1991 habe er Morddrohungen gegen einen Gemeindepolizisten ausgestossen; im Dezember 1992 habe er einen Menschen mit einem Messerstich in den Bauch verletzt; im Januar 1994 habe er gegenüber einem Mitarbeiter des Arbeitsamtes Morddrohungen gegen Y. ausgestossen; im Februar 1994 habe sich der Beschwerdeführer in einem anonymen Flugblatt zum Mordfall an einer VOLG-Filialleiterin vernehmen lassen und die Ansicht vertreten, die Täter hätten statt der Filialleiterin ihren Arbeitgeber töten sollen; ebenso im Februar 1994 habe der Beschwerdeführer dem KIGA in Aarau telefoniert und gedroht, zwei Mitarbeiter würden "drankommen"; im Februar 1996 habe er sich darüber beschwert, dass er wegen des schlechten Arbeitszeugnisses von Y. keine Stelle mehr finde, und BGE 127 IV 1 S. 7 gesagt, dieser werde "es schon noch zu spüren bekommen". Aktenkundig sei weiter, dass der Beschwerdeführer im Sommer 1998 unter anderem auch gegen Dr. Sachs und dessen Familie massive Drohungen ausgesprochen habe. Beim Vorfall vom 22./23. Februar 1994 habe der Beschwerdeführer auf die L-iegenschaft seines ehemaligen Vorarbeiters mehrere Schüsse abgefeuert. Einen Schuss habe er in Richtung Schlafzimmerfenster abgegeben, obschon er gewusst habe, dass sich dahinter Menschen befanden. Der Beschwerdeführer habe somit bis heute nicht nur unzählige Drohungen gegen das Umfeld seines Arbeitgebers, mit ihm befasste Behörden und Ärzte ausgestossen. Vielmehr ergebe sich aus seinem Verhalten, das zur Verurteilung wegen Gefährdung des Lebens geführt habe, auch die Bereitschaft, den Drohungen mit Waffengewalt Nachdruck zu verschaffen und dabei durch Schüsse Menschen in Lebensgefahr zu bringen. Die Vorinstanz nimmt in Würdigung der Beweise an, dass es sich bei den Äusserungen des Beschwerdeführers gegenüber Y. am 22. Januar 1997 um ernst gemeinte Morddrohungen handelte. In Bezug auf die Fremdgefährlichkeit des Beschwerdeführers kommt die Vorinstanz nach Auseinandersetzung mit den Gutachten zusammenfassend zum Schluss, es bestehe die hohe Wahrscheinlichkeit der Begehung mittelschwerer Straftaten gegen die Freiheit (Drohung), die in Art und Ausmass als intensiv zu bezeichnen seien. Es bestehe die grosse Gefahr, dass der Beschwerdeführer weitere schwere Straftaten begehe, in deren Rahmen er Menschen durch Schusswaffen in unmittelbare Lebensgefahr bringe. Damit verbunden sei die nicht mehr geringe Gefahr, dass dabei hochwertige Rechtsgüter wie Leib und Leben tatsächlich verletzt würden. Es bestehe die erhebliche Möglichkeit, dass der Beschwerdeführer im Rahmen einer mit erheblicher Wahrscheinlichkeit zunehmenden querulatorischen Entwicklung Morddrohungen tatsächlich in körperliche Angriffe umsetzen werde. Die Vorinstanz bemerkt schliesslich, nach den Aussagen der Gutachter sei auf Grund der fehlenden Behandlungswilligkeit wie auch der selbst bei Behandlungswilligkeit sehr geringen Erfolgsaussichten ein weiterer Behandlungsversuch, sei es ambulant oder stationär, aussichtslos. Die Vorinstanz habe gestützt auf den persönlichen Eindruck, den der Beschwerdeführer an der Berufungsverhandlung gemacht habe, keine Zweifel, dass dieser Befund nach wie vor zutreffe. Der Beschwerdeführer habe weder die Einsicht, behandlungsbedürftig zu sein, noch eine Behandlungswilligkeit zu erkennen gegeben. Andere Möglichkeiten als die Verwahrung, um BGE 127 IV 1 S. 8 ihn von weiterer Gefährdung anderer abzuhalten, - wie der Vollzug einer langen Freiheitsstrafe - bestünden nicht. c) Ausgehend von den verbindlichen tatsächlichen Feststellungen der Vorinstanz zur Fremdgefährlichkeit des Beschwerdeführers ( Art. 277bis Abs. 1 BStP [SR 312.0]) verletzt die Anordnung der Verwahrung kein Bundesrecht. aa) In Gefahr sind hier Leib und Leben. Wie dargelegt, sind nach der Rechtsprechung bei der Gefährdung von Leib und Leben an Nähe und Ausmass der Gefahr weniger hohe Anforderungen zu stellen als bei der Gefährdung unbedeutender Rechtsgüter; die Verwahrung kann bei Gefährdung von Leib und Leben schon dann im Sinne von Art. 43 Ziff. 1 Abs. 2 StGB notwendig sein, wenn die Gefahr nicht besonders gross ist. Im vorliegenden Fall besteht auf Grund der Feststellungen der Vorinstanz eine erhebliche Gefahr für Leib und Leben, insbesondere des ehemaligen Arbeitgebers. Von Bedeutung ist, dass der Beschwerdeführer - nebst der Körperverletzung mit einem Messer in Notwehrexzess - bereits einmal eine Schusswaffe gegen Menschen eingesetzt hat. Wie zu entscheiden wäre, wenn es bei den massiven Drohungen allein geblieben wäre, kann offen bleiben. bb) Der Grundsatz "in dubio pro reo" gilt, wie dargelegt, bei der Prognosestellung nicht. Wie STRATENWERTH (Schweizerisches Strafrecht, Allgemeiner Teil II, Bern 1989, § 11 N. 131) zutreffend sagt, muss der Entscheid auch gegenüber den möglichen Opfern eines in Freiheit belassenen Täters verantwortet werden, hier also insbesondere gegenüber dem ehemaligen Arbeitgeber und den Personen aus dessen Umfeld. cc) Der Beschwerdeführer bringt vor, er sei lediglich wegen Drohung mit 7 Monaten Gefängnis bestraft worden. Die Anlasstat wiege somit nicht schwer; die Verwahrung sei unverhältnismässig. Der Einwand ist unbegründet. Entscheidend für die Frage der Verwahrung ist nicht die Gefährlichkeit der Anlasstat, sondern des Geisteszustandes des Täters. Die Verwahrung kommt in Betracht, auch wenn die Anlasstat nicht als schwer wiegend einzustufen ist. Die Morddrohung des Beschwerdeführers am 22. Januar 1997 steht offensichtlich in Zusammenhang mit den zahlreichen weiteren Drohungen gleicher Art und insbesondere mit der Gefährdung des Lebens im Jahre 1994. Die neuerliche schwere Drohung nur rund einen Monat nach der Entlassung aus dem Strafvollzug zeigt, dass der Beschwerdeführer auf Grund seines Geisteszustandes für Dritte, insbesondere Y., nach wie vor eine ernstliche Gefahr darstellt. BGE 127 IV 1 S. 9 Die Verwahrung verletzt auch unter diesem Gesichtspunkt kein Bundesrecht. dd) Der Beschwerdeführer macht geltend, er befinde sich seit Januar 1997 in Haft. Die Wirkung des langen Freiheitsentzuges sei zu berücksichtigen. Der Einwand überzeugt nicht. Der Vollzug der im Jahre 1995 ausgesprochenen Zuchthausstrafe von 2½ Jahren hat den Beschwerdeführer nicht vor einem Rückfall kurz nach der Entlassung bewahrt, obgleich er vorher einen "Friedensvertrag" unterzeichnet hatte. In der jetzigen Haft hat er keinen derartigen Vertrag unterschrieben. Der Beschwerdeführer ist nach den Feststellungen der Vorinstanz zudem einsichtslos. Umso mehr ist die Gefahr des Rückfalls ernst zu nehmen. ee) Der Beschwerdeführer bringt vor, die öffentliche Sicherheit sei nicht gefährdet. Von seinen Taten sei nur ein begrenzter Personenkreis im Umfeld des ehemaligen Arbeitgebers betroffen gewesen. Anzeichen dafür, dass der Beschwerdeführer ausserhalb dieses Umfeldes Dritte in ernst zu nehmender Weise gefährde, bestünden nicht. Der Einwand ist unbegründet. Nach den tatsächlichen Feststellungen der kantonalen Behörden hat der Beschwerdeführer massive Drohungen gegen eine Vielzahl von Personen ausgesprochen, auch gegen solche, die nicht zum Umfeld des früheren Arbeitgebers gehören. Soweit der Beschwerdeführer von einem anderen Sachverhalt ausgeht, kann auf die Beschwerde nicht eingetreten werden ( Art. 273 Abs. 1 lit. b BStP ). Selbst wenn seiner Darstellung zu folgen wäre, würde ihm das im Übrigen nicht helfen. Die öffentliche Sicherheit bedeutet die Unverletzlichkeit unter anderem der Rechtsgüter der Einzelnen (ULRICH HÄFELIN/GEORG MÜLLER, Grundriss des Allgemeinen Verwaltungsrechts, 3. Aufl., Zürich 1998, S. 482 N. 1902). Ob die Gefährdung einen begrenzten Personenkreis betrifft oder nicht, spielt keine Rolle. Nach Art. 43 Ziff. 1 Abs. 2 StGB setzt die Verwahrung voraus, dass die Massnahme notwendig ist, um den Täter vor weiterer Gefährdung anderer abzuhalten. Dabei kann es sich um unbestimmte oder bestimmte Personen handeln (STRATENWERTH, a.a.O., § 11 N. 129). In BGE 101 IV 124 wurde denn auch die Gefährdung der öffentlichen Sicherheit bejaht in einem Fall, in dem der Täter eine Gefahr für die Mitarbeiter und Vorgesetzten am Arbeitsplatz, also für einen begrenzten Personenkreis, darstellte (E. 2). d) Auch bei der Verwahrung nach Art. 43 StGB besteht die Möglichkeit der probeweisen Entlassung, gegebenenfalls verbunden BGE 127 IV 1 S. 10 mit Weisungen und einer Schutzaufsicht. Die zuständige Behörde hat mindestens einmal jährlich Beschluss zu fassen. In allen Fällen hat sie vor dem Entscheid den zu Entlassenden oder seinen Vertreter anzuhören und von der Anstaltsleitung einen Bericht einzuholen (Art. 43 Ziff. 4 und Art. 45 Ziff. 1 und 2 StGB ). Nach der Rechtsprechung muss die zuständige Behörde nach den Umständen des Falles auf Gesuch des Betroffenen ein Gutachten eines unabhängigen psychiatrischen Sachverständigen einholen ( BGE 121 IV 1 ). Es wird zu prüfen sein, ob und wann sich eine probeweise Entlassung des Beschwerdeführers, gegebenenfalls verbunden mit flankierenden Massnahmen, vertreten lässt. Wie sich aus dem mit der vorliegenden Beschwerde gestellten Eventualantrag ergibt, verlangt der Beschwerdeführer eine neue Begutachtung. Ohne eine solche wird seine probeweise Entlassung nicht in Frage kommen. Das neue Gutachten wird von einem Facharzt zu erstellen sein, der sich mit dem Fall bisher nicht befasst hat. Es wird Sache des Beschwerdeführers sein, bei der neuen Begutachtung vorbehaltlos und kooperativ mitzuwirken und nicht wieder (unerfüllbare) Bedingungen für eine persönliche Untersuchung zu stellen, wie er das gegenüber Dr. Kiesewetter getan hat. Ob und wann es zur probeweisen Entlassung kommt, wird damit auch vom Verhalten des Beschwerdeführers selber abhängen.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